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4E9" w:rsidRPr="00AC6BA7" w:rsidRDefault="00AC6BA7" w:rsidP="00263BD6">
      <w:pPr>
        <w:pStyle w:val="Heading1"/>
        <w:jc w:val="center"/>
        <w:rPr>
          <w:rFonts w:ascii="Arial" w:hAnsi="Arial" w:cs="Arial"/>
          <w:u w:val="none"/>
        </w:rPr>
      </w:pPr>
      <w:r w:rsidRPr="00AC6BA7">
        <w:rPr>
          <w:rFonts w:ascii="Arial" w:hAnsi="Arial" w:cs="Arial"/>
          <w:u w:val="none"/>
        </w:rPr>
        <w:t>Jessie Younghusband School</w:t>
      </w:r>
    </w:p>
    <w:p w:rsidR="00DE3A8C" w:rsidRDefault="00F30CBE" w:rsidP="00263BD6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 xml:space="preserve">Accessibility </w:t>
      </w:r>
      <w:r w:rsidR="00263BD6">
        <w:rPr>
          <w:rFonts w:ascii="Arial" w:hAnsi="Arial" w:cs="Arial"/>
          <w:b/>
          <w:sz w:val="24"/>
          <w:u w:val="single"/>
        </w:rPr>
        <w:t xml:space="preserve">Plan and Equality Objectives 2016 </w:t>
      </w:r>
      <w:r w:rsidR="00C10C24">
        <w:rPr>
          <w:rFonts w:ascii="Arial" w:hAnsi="Arial" w:cs="Arial"/>
          <w:b/>
          <w:sz w:val="24"/>
          <w:u w:val="single"/>
        </w:rPr>
        <w:t>–</w:t>
      </w:r>
      <w:r w:rsidR="00263BD6">
        <w:rPr>
          <w:rFonts w:ascii="Arial" w:hAnsi="Arial" w:cs="Arial"/>
          <w:b/>
          <w:sz w:val="24"/>
          <w:u w:val="single"/>
        </w:rPr>
        <w:t xml:space="preserve"> 2019</w:t>
      </w:r>
      <w:r w:rsidR="00C10C24">
        <w:rPr>
          <w:rFonts w:ascii="Arial" w:hAnsi="Arial" w:cs="Arial"/>
          <w:b/>
          <w:sz w:val="24"/>
          <w:u w:val="single"/>
        </w:rPr>
        <w:t xml:space="preserve"> (Up-dated </w:t>
      </w:r>
      <w:proofErr w:type="gramStart"/>
      <w:r w:rsidR="00C10C24">
        <w:rPr>
          <w:rFonts w:ascii="Arial" w:hAnsi="Arial" w:cs="Arial"/>
          <w:b/>
          <w:sz w:val="24"/>
          <w:u w:val="single"/>
        </w:rPr>
        <w:t>Autumn</w:t>
      </w:r>
      <w:proofErr w:type="gramEnd"/>
      <w:r w:rsidR="00C10C24">
        <w:rPr>
          <w:rFonts w:ascii="Arial" w:hAnsi="Arial" w:cs="Arial"/>
          <w:b/>
          <w:sz w:val="24"/>
          <w:u w:val="single"/>
        </w:rPr>
        <w:t xml:space="preserve"> 2017)</w:t>
      </w:r>
    </w:p>
    <w:p w:rsidR="00A3167E" w:rsidRDefault="00A3167E">
      <w:pPr>
        <w:rPr>
          <w:rFonts w:ascii="Arial" w:hAnsi="Arial" w:cs="Arial"/>
          <w:b/>
          <w:sz w:val="24"/>
          <w:u w:val="single"/>
        </w:rPr>
      </w:pPr>
    </w:p>
    <w:p w:rsidR="00A3167E" w:rsidRPr="00A3167E" w:rsidRDefault="00A3167E" w:rsidP="00A3167E">
      <w:pPr>
        <w:jc w:val="both"/>
        <w:rPr>
          <w:rFonts w:ascii="Arial" w:hAnsi="Arial" w:cs="Arial"/>
          <w:sz w:val="24"/>
        </w:rPr>
      </w:pPr>
      <w:r w:rsidRPr="00A3167E">
        <w:rPr>
          <w:rFonts w:ascii="Arial" w:hAnsi="Arial" w:cs="Arial"/>
          <w:sz w:val="24"/>
        </w:rPr>
        <w:t>We ar</w:t>
      </w:r>
      <w:r w:rsidR="00035D96">
        <w:rPr>
          <w:rFonts w:ascii="Arial" w:hAnsi="Arial" w:cs="Arial"/>
          <w:sz w:val="24"/>
        </w:rPr>
        <w:t xml:space="preserve">e committed to </w:t>
      </w:r>
      <w:r w:rsidR="006579A4">
        <w:rPr>
          <w:rFonts w:ascii="Arial" w:hAnsi="Arial" w:cs="Arial"/>
          <w:sz w:val="24"/>
        </w:rPr>
        <w:t xml:space="preserve">ensuring equality of provision throughout the school community and </w:t>
      </w:r>
      <w:r w:rsidR="00035D96">
        <w:rPr>
          <w:rFonts w:ascii="Arial" w:hAnsi="Arial" w:cs="Arial"/>
          <w:sz w:val="24"/>
        </w:rPr>
        <w:t>an</w:t>
      </w:r>
      <w:r w:rsidRPr="00A3167E">
        <w:rPr>
          <w:rFonts w:ascii="Arial" w:hAnsi="Arial" w:cs="Arial"/>
          <w:sz w:val="24"/>
        </w:rPr>
        <w:t xml:space="preserve"> accessible environment which values and includes all pupils, staff, parents and visitors regardless of their age,</w:t>
      </w:r>
      <w:r>
        <w:rPr>
          <w:rFonts w:ascii="Arial" w:hAnsi="Arial" w:cs="Arial"/>
          <w:sz w:val="24"/>
        </w:rPr>
        <w:t xml:space="preserve"> </w:t>
      </w:r>
      <w:r w:rsidRPr="00A3167E">
        <w:rPr>
          <w:rFonts w:ascii="Arial" w:hAnsi="Arial" w:cs="Arial"/>
          <w:sz w:val="24"/>
        </w:rPr>
        <w:t>education, physical, sensory, social, spiritual, emotional and cultural needs. We are committed to challenging negative attitudes about disability and</w:t>
      </w:r>
      <w:r>
        <w:rPr>
          <w:rFonts w:ascii="Arial" w:hAnsi="Arial" w:cs="Arial"/>
          <w:sz w:val="24"/>
        </w:rPr>
        <w:t xml:space="preserve"> </w:t>
      </w:r>
      <w:r w:rsidRPr="00A3167E">
        <w:rPr>
          <w:rFonts w:ascii="Arial" w:hAnsi="Arial" w:cs="Arial"/>
          <w:sz w:val="24"/>
        </w:rPr>
        <w:t>accessibility and to developing a culture of awareness, tolerance and inclusion.</w:t>
      </w:r>
    </w:p>
    <w:p w:rsidR="00A3167E" w:rsidRDefault="00A3167E" w:rsidP="00A3167E">
      <w:pPr>
        <w:jc w:val="both"/>
        <w:rPr>
          <w:rFonts w:ascii="Arial" w:hAnsi="Arial" w:cs="Arial"/>
          <w:sz w:val="24"/>
        </w:rPr>
      </w:pPr>
    </w:p>
    <w:p w:rsidR="00263BD6" w:rsidRDefault="00263BD6" w:rsidP="00263BD6">
      <w:pPr>
        <w:jc w:val="both"/>
        <w:rPr>
          <w:rFonts w:ascii="Arial" w:hAnsi="Arial" w:cs="Arial"/>
          <w:sz w:val="24"/>
        </w:rPr>
      </w:pPr>
    </w:p>
    <w:p w:rsidR="00263BD6" w:rsidRPr="00FF2A7C" w:rsidRDefault="00263BD6" w:rsidP="00263BD6">
      <w:pPr>
        <w:jc w:val="both"/>
        <w:rPr>
          <w:rFonts w:ascii="Arial" w:hAnsi="Arial" w:cs="Arial"/>
          <w:b/>
          <w:sz w:val="24"/>
        </w:rPr>
      </w:pPr>
      <w:r w:rsidRPr="00FF2A7C">
        <w:rPr>
          <w:rFonts w:ascii="Arial" w:hAnsi="Arial" w:cs="Arial"/>
          <w:b/>
          <w:sz w:val="24"/>
        </w:rPr>
        <w:t>Equality Objectives</w:t>
      </w:r>
    </w:p>
    <w:p w:rsidR="00CF1347" w:rsidRPr="00FF2A7C" w:rsidRDefault="00CF1347" w:rsidP="00FF2A7C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F2A7C">
        <w:rPr>
          <w:rFonts w:ascii="Arial" w:hAnsi="Arial" w:cs="Arial"/>
          <w:sz w:val="24"/>
          <w:szCs w:val="24"/>
        </w:rPr>
        <w:t>To promote spiritual, moral, social and cultural development through all appropriate curricular opportunities, with particular reference to issues of equality and diversity</w:t>
      </w:r>
      <w:r w:rsidR="00FF2A7C" w:rsidRPr="00FF2A7C">
        <w:rPr>
          <w:rFonts w:ascii="Arial" w:hAnsi="Arial" w:cs="Arial"/>
          <w:sz w:val="24"/>
          <w:szCs w:val="24"/>
        </w:rPr>
        <w:t xml:space="preserve"> and to ensure that all groups of pupils have equal access to all extra-curricular activities.</w:t>
      </w:r>
    </w:p>
    <w:p w:rsidR="00CF1347" w:rsidRPr="00FF2A7C" w:rsidRDefault="00CF1347" w:rsidP="00FF2A7C">
      <w:pPr>
        <w:pStyle w:val="Default"/>
        <w:numPr>
          <w:ilvl w:val="0"/>
          <w:numId w:val="13"/>
        </w:numPr>
        <w:spacing w:line="276" w:lineRule="auto"/>
        <w:ind w:right="540"/>
        <w:jc w:val="both"/>
      </w:pPr>
      <w:r w:rsidRPr="00FF2A7C">
        <w:rPr>
          <w:iCs/>
        </w:rPr>
        <w:t>To increase staff’s understanding of equality and its implications on a day to day basis, and in this way to reduce or remove inequalities in attainment throughout the school, particularly inequalities relating to the protected characteristics listed in the Equality Act’.</w:t>
      </w:r>
    </w:p>
    <w:p w:rsidR="00FF2A7C" w:rsidRPr="00FF2A7C" w:rsidRDefault="00CF1347" w:rsidP="00FF2A7C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sz w:val="24"/>
          <w:szCs w:val="24"/>
        </w:rPr>
      </w:pPr>
      <w:r w:rsidRPr="00FF2A7C">
        <w:rPr>
          <w:rFonts w:ascii="Arial" w:hAnsi="Arial" w:cs="Arial"/>
          <w:iCs/>
          <w:sz w:val="24"/>
          <w:szCs w:val="24"/>
        </w:rPr>
        <w:t>To narrow the gap between vulnerable groups of pupils and other pupils</w:t>
      </w:r>
      <w:r w:rsidR="006579A4" w:rsidRPr="00FF2A7C">
        <w:rPr>
          <w:rFonts w:ascii="Arial" w:hAnsi="Arial" w:cs="Arial"/>
          <w:iCs/>
          <w:sz w:val="24"/>
          <w:szCs w:val="24"/>
        </w:rPr>
        <w:t xml:space="preserve"> outcomes especially in reading, writing and mathematics</w:t>
      </w:r>
      <w:r w:rsidRPr="00FF2A7C">
        <w:rPr>
          <w:rFonts w:ascii="Arial" w:hAnsi="Arial" w:cs="Arial"/>
          <w:iCs/>
          <w:sz w:val="24"/>
          <w:szCs w:val="24"/>
        </w:rPr>
        <w:t xml:space="preserve">, and in this way to reduce or remove inequalities in attainment throughout the school, particularly </w:t>
      </w:r>
      <w:r w:rsidR="006579A4" w:rsidRPr="00FF2A7C">
        <w:rPr>
          <w:rFonts w:ascii="Arial" w:hAnsi="Arial" w:cs="Arial"/>
          <w:iCs/>
          <w:sz w:val="24"/>
          <w:szCs w:val="24"/>
        </w:rPr>
        <w:t xml:space="preserve">regard will be given to </w:t>
      </w:r>
      <w:r w:rsidRPr="00FF2A7C">
        <w:rPr>
          <w:rFonts w:ascii="Arial" w:hAnsi="Arial" w:cs="Arial"/>
          <w:iCs/>
          <w:sz w:val="24"/>
          <w:szCs w:val="24"/>
        </w:rPr>
        <w:t>inequalities relating to the protected characteristics listed in the Equality Act</w:t>
      </w:r>
    </w:p>
    <w:p w:rsidR="00FF2A7C" w:rsidRDefault="006579A4" w:rsidP="00FF2A7C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sz w:val="24"/>
          <w:szCs w:val="24"/>
        </w:rPr>
      </w:pPr>
      <w:r w:rsidRPr="00FF2A7C">
        <w:rPr>
          <w:rFonts w:ascii="Arial" w:hAnsi="Arial" w:cs="Arial"/>
          <w:sz w:val="24"/>
          <w:szCs w:val="24"/>
          <w:lang w:eastAsia="en-GB"/>
        </w:rPr>
        <w:t xml:space="preserve">To develop an approach to displays around the school that reflect a </w:t>
      </w:r>
      <w:r w:rsidR="00B12CF6">
        <w:rPr>
          <w:rFonts w:ascii="Arial" w:hAnsi="Arial" w:cs="Arial"/>
          <w:sz w:val="24"/>
          <w:szCs w:val="24"/>
          <w:lang w:eastAsia="en-GB"/>
        </w:rPr>
        <w:t xml:space="preserve">positive attitude to equality </w:t>
      </w:r>
      <w:r w:rsidRPr="00FF2A7C">
        <w:rPr>
          <w:rFonts w:ascii="Arial" w:hAnsi="Arial" w:cs="Arial"/>
          <w:sz w:val="24"/>
          <w:szCs w:val="24"/>
          <w:lang w:eastAsia="en-GB"/>
        </w:rPr>
        <w:t xml:space="preserve">and </w:t>
      </w:r>
      <w:proofErr w:type="gramStart"/>
      <w:r w:rsidRPr="00FF2A7C">
        <w:rPr>
          <w:rFonts w:ascii="Arial" w:hAnsi="Arial" w:cs="Arial"/>
          <w:sz w:val="24"/>
          <w:szCs w:val="24"/>
          <w:lang w:eastAsia="en-GB"/>
        </w:rPr>
        <w:t>diversity  with</w:t>
      </w:r>
      <w:proofErr w:type="gramEnd"/>
      <w:r w:rsidRPr="00FF2A7C">
        <w:rPr>
          <w:rFonts w:ascii="Arial" w:hAnsi="Arial" w:cs="Arial"/>
          <w:sz w:val="24"/>
          <w:szCs w:val="24"/>
          <w:lang w:eastAsia="en-GB"/>
        </w:rPr>
        <w:t xml:space="preserve"> our own community and the wider community.</w:t>
      </w:r>
    </w:p>
    <w:p w:rsidR="006579A4" w:rsidRPr="00FF2A7C" w:rsidRDefault="006579A4" w:rsidP="00FF2A7C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F2A7C">
        <w:rPr>
          <w:rFonts w:ascii="Arial" w:hAnsi="Arial" w:cs="Arial"/>
          <w:sz w:val="24"/>
          <w:szCs w:val="24"/>
        </w:rPr>
        <w:t>Improve the delivery of written information to pupils, staff, parents and visitors with disabilities. Examples might include hand-outs, timetables, textbooks and information about the school and school events. The information should be made available in various preferred formats within a reasonable time frame.</w:t>
      </w:r>
    </w:p>
    <w:p w:rsidR="006579A4" w:rsidRPr="00FF2A7C" w:rsidRDefault="006579A4" w:rsidP="00FF2A7C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F2A7C">
        <w:rPr>
          <w:rFonts w:ascii="Arial" w:hAnsi="Arial" w:cs="Arial"/>
          <w:sz w:val="24"/>
          <w:szCs w:val="24"/>
        </w:rPr>
        <w:t>Improve access to the physical environment of the school, adding specialist facilities/resources as necessary. This covers improvements to the physical environment of the school and physical aids to access education.</w:t>
      </w:r>
    </w:p>
    <w:p w:rsidR="006579A4" w:rsidRPr="006579A4" w:rsidRDefault="006579A4" w:rsidP="006579A4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GB"/>
        </w:rPr>
      </w:pPr>
    </w:p>
    <w:p w:rsidR="00A3167E" w:rsidRDefault="00A3167E">
      <w:pPr>
        <w:rPr>
          <w:rFonts w:ascii="Arial" w:hAnsi="Arial" w:cs="Arial"/>
          <w:sz w:val="24"/>
        </w:rPr>
      </w:pPr>
    </w:p>
    <w:p w:rsidR="006579A4" w:rsidRDefault="006579A4">
      <w:pPr>
        <w:rPr>
          <w:rFonts w:ascii="Arial" w:hAnsi="Arial" w:cs="Arial"/>
          <w:sz w:val="24"/>
        </w:rPr>
      </w:pPr>
    </w:p>
    <w:p w:rsidR="00B12CF6" w:rsidRDefault="00B12CF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Actions to address improvements and to monitor provision in these areas is shown on the attached Accessibility Action Plan</w:t>
      </w:r>
    </w:p>
    <w:p w:rsidR="00A3167E" w:rsidRPr="00AC6BA7" w:rsidRDefault="00A3167E">
      <w:pPr>
        <w:rPr>
          <w:rFonts w:ascii="Arial" w:hAnsi="Arial" w:cs="Arial"/>
          <w:sz w:val="24"/>
        </w:rPr>
      </w:pPr>
    </w:p>
    <w:tbl>
      <w:tblPr>
        <w:tblW w:w="15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6"/>
        <w:gridCol w:w="2979"/>
        <w:gridCol w:w="2691"/>
        <w:gridCol w:w="1701"/>
        <w:gridCol w:w="1277"/>
        <w:gridCol w:w="1418"/>
        <w:gridCol w:w="2649"/>
      </w:tblGrid>
      <w:tr w:rsidR="00CB2203" w:rsidRPr="00AC6BA7" w:rsidTr="00B12CF6">
        <w:trPr>
          <w:trHeight w:val="391"/>
        </w:trPr>
        <w:tc>
          <w:tcPr>
            <w:tcW w:w="2516" w:type="dxa"/>
          </w:tcPr>
          <w:p w:rsidR="00137DEF" w:rsidRPr="00F474A9" w:rsidRDefault="00F474A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474A9">
              <w:rPr>
                <w:rFonts w:ascii="Arial" w:hAnsi="Arial" w:cs="Arial"/>
                <w:b/>
                <w:sz w:val="22"/>
                <w:szCs w:val="22"/>
              </w:rPr>
              <w:lastRenderedPageBreak/>
              <w:t>Objective</w:t>
            </w:r>
          </w:p>
        </w:tc>
        <w:tc>
          <w:tcPr>
            <w:tcW w:w="2979" w:type="dxa"/>
          </w:tcPr>
          <w:p w:rsidR="00137DEF" w:rsidRPr="00F474A9" w:rsidRDefault="00F474A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474A9">
              <w:rPr>
                <w:rFonts w:ascii="Arial" w:hAnsi="Arial" w:cs="Arial"/>
                <w:b/>
                <w:sz w:val="22"/>
                <w:szCs w:val="22"/>
              </w:rPr>
              <w:t>Action</w:t>
            </w:r>
          </w:p>
        </w:tc>
        <w:tc>
          <w:tcPr>
            <w:tcW w:w="2691" w:type="dxa"/>
          </w:tcPr>
          <w:p w:rsidR="00137DEF" w:rsidRPr="00F474A9" w:rsidRDefault="00F474A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474A9">
              <w:rPr>
                <w:rFonts w:ascii="Arial" w:hAnsi="Arial" w:cs="Arial"/>
                <w:b/>
                <w:sz w:val="22"/>
                <w:szCs w:val="22"/>
              </w:rPr>
              <w:t>Success Criteria</w:t>
            </w:r>
          </w:p>
        </w:tc>
        <w:tc>
          <w:tcPr>
            <w:tcW w:w="1701" w:type="dxa"/>
            <w:vAlign w:val="center"/>
          </w:tcPr>
          <w:p w:rsidR="00137DEF" w:rsidRPr="00F474A9" w:rsidRDefault="00FF2A7C" w:rsidP="00035D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74A9">
              <w:rPr>
                <w:rFonts w:ascii="Arial" w:hAnsi="Arial" w:cs="Arial"/>
                <w:b/>
                <w:sz w:val="22"/>
                <w:szCs w:val="22"/>
              </w:rPr>
              <w:t>Who to action</w:t>
            </w:r>
          </w:p>
        </w:tc>
        <w:tc>
          <w:tcPr>
            <w:tcW w:w="1277" w:type="dxa"/>
            <w:vAlign w:val="center"/>
          </w:tcPr>
          <w:p w:rsidR="00137DEF" w:rsidRPr="00F474A9" w:rsidRDefault="00FF2A7C" w:rsidP="00035D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74A9">
              <w:rPr>
                <w:rFonts w:ascii="Arial" w:hAnsi="Arial" w:cs="Arial"/>
                <w:b/>
                <w:sz w:val="22"/>
                <w:szCs w:val="22"/>
              </w:rPr>
              <w:t>When</w:t>
            </w:r>
          </w:p>
        </w:tc>
        <w:tc>
          <w:tcPr>
            <w:tcW w:w="1418" w:type="dxa"/>
            <w:vAlign w:val="center"/>
          </w:tcPr>
          <w:p w:rsidR="00137DEF" w:rsidRPr="00F474A9" w:rsidRDefault="00FF2A7C" w:rsidP="00035D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74A9">
              <w:rPr>
                <w:rFonts w:ascii="Arial" w:hAnsi="Arial" w:cs="Arial"/>
                <w:b/>
                <w:sz w:val="22"/>
                <w:szCs w:val="22"/>
              </w:rPr>
              <w:t>Monitoring</w:t>
            </w:r>
          </w:p>
        </w:tc>
        <w:tc>
          <w:tcPr>
            <w:tcW w:w="2649" w:type="dxa"/>
          </w:tcPr>
          <w:p w:rsidR="00137DEF" w:rsidRPr="00F474A9" w:rsidRDefault="00FF2A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474A9">
              <w:rPr>
                <w:rFonts w:ascii="Arial" w:hAnsi="Arial" w:cs="Arial"/>
                <w:b/>
                <w:sz w:val="22"/>
                <w:szCs w:val="22"/>
              </w:rPr>
              <w:t>Further action</w:t>
            </w:r>
          </w:p>
        </w:tc>
      </w:tr>
      <w:tr w:rsidR="00CB2203" w:rsidRPr="00AC6BA7" w:rsidTr="00B12CF6">
        <w:tc>
          <w:tcPr>
            <w:tcW w:w="2516" w:type="dxa"/>
          </w:tcPr>
          <w:p w:rsidR="00035D96" w:rsidRDefault="00245AE9" w:rsidP="00035D96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1. </w:t>
            </w:r>
            <w:r w:rsidR="00A3167E" w:rsidRPr="00A3167E">
              <w:rPr>
                <w:rFonts w:ascii="Arial" w:hAnsi="Arial" w:cs="Arial"/>
                <w:sz w:val="22"/>
                <w:szCs w:val="24"/>
              </w:rPr>
              <w:t>Ensure that all areas of school building and grounds are accessible for</w:t>
            </w:r>
            <w:r w:rsidR="00035D96">
              <w:rPr>
                <w:rFonts w:ascii="Arial" w:hAnsi="Arial" w:cs="Arial"/>
                <w:sz w:val="22"/>
                <w:szCs w:val="24"/>
              </w:rPr>
              <w:t xml:space="preserve"> all children and adults. </w:t>
            </w:r>
          </w:p>
          <w:p w:rsidR="00A3167E" w:rsidRPr="00A3167E" w:rsidRDefault="00035D96" w:rsidP="00035D96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C</w:t>
            </w:r>
            <w:r w:rsidR="00A3167E" w:rsidRPr="00A3167E">
              <w:rPr>
                <w:rFonts w:ascii="Arial" w:hAnsi="Arial" w:cs="Arial"/>
                <w:sz w:val="22"/>
                <w:szCs w:val="24"/>
              </w:rPr>
              <w:t xml:space="preserve">ontinue to improve the access of the physical environment for all. </w:t>
            </w:r>
          </w:p>
        </w:tc>
        <w:tc>
          <w:tcPr>
            <w:tcW w:w="2979" w:type="dxa"/>
          </w:tcPr>
          <w:p w:rsidR="00035D96" w:rsidRDefault="00FF2A7C" w:rsidP="00FF2A7C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Doors at the front entrance to be replaced with wheelchair accessible width doors.</w:t>
            </w:r>
          </w:p>
          <w:p w:rsidR="00FF2A7C" w:rsidRDefault="00FF2A7C" w:rsidP="00FF2A7C">
            <w:pPr>
              <w:rPr>
                <w:rFonts w:ascii="Arial" w:hAnsi="Arial" w:cs="Arial"/>
                <w:sz w:val="22"/>
                <w:szCs w:val="24"/>
              </w:rPr>
            </w:pPr>
          </w:p>
          <w:p w:rsidR="00FF2A7C" w:rsidRDefault="00FF2A7C" w:rsidP="00FF2A7C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Alterations to the office hatch way to make this more accessible for a wheel chair user.</w:t>
            </w:r>
          </w:p>
          <w:p w:rsidR="00FF2A7C" w:rsidRDefault="00FF2A7C" w:rsidP="00FF2A7C">
            <w:pPr>
              <w:rPr>
                <w:rFonts w:ascii="Arial" w:hAnsi="Arial" w:cs="Arial"/>
                <w:sz w:val="22"/>
                <w:szCs w:val="24"/>
              </w:rPr>
            </w:pPr>
          </w:p>
          <w:p w:rsidR="00FF2A7C" w:rsidRDefault="00FF2A7C" w:rsidP="00FF2A7C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Proposals are considered for altering the access route to the Year R and KS1 classrooms so that a slope rather than steps is used.</w:t>
            </w:r>
          </w:p>
          <w:p w:rsidR="00FF2A7C" w:rsidRDefault="00FF2A7C" w:rsidP="00FF2A7C">
            <w:pPr>
              <w:rPr>
                <w:rFonts w:ascii="Arial" w:hAnsi="Arial" w:cs="Arial"/>
                <w:sz w:val="22"/>
                <w:szCs w:val="24"/>
              </w:rPr>
            </w:pPr>
          </w:p>
          <w:p w:rsidR="00FF2A7C" w:rsidRPr="00A3167E" w:rsidRDefault="00FF2A7C" w:rsidP="00FF2A7C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Ramps are installed for access to all external entrance ways which currently have a step.</w:t>
            </w:r>
          </w:p>
        </w:tc>
        <w:tc>
          <w:tcPr>
            <w:tcW w:w="2691" w:type="dxa"/>
          </w:tcPr>
          <w:p w:rsidR="00A3167E" w:rsidRDefault="00FF2A7C" w:rsidP="00035D96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Wheelchair users can enter the school more easily.</w:t>
            </w:r>
          </w:p>
          <w:p w:rsidR="00FF2A7C" w:rsidRDefault="00FF2A7C" w:rsidP="00035D96">
            <w:pPr>
              <w:rPr>
                <w:rFonts w:ascii="Arial" w:hAnsi="Arial" w:cs="Arial"/>
                <w:sz w:val="22"/>
                <w:szCs w:val="24"/>
              </w:rPr>
            </w:pPr>
          </w:p>
          <w:p w:rsidR="00FF2A7C" w:rsidRDefault="00FF2A7C" w:rsidP="00035D96">
            <w:pPr>
              <w:rPr>
                <w:rFonts w:ascii="Arial" w:hAnsi="Arial" w:cs="Arial"/>
                <w:sz w:val="22"/>
                <w:szCs w:val="24"/>
              </w:rPr>
            </w:pPr>
          </w:p>
          <w:p w:rsidR="00FF2A7C" w:rsidRDefault="00FF2A7C" w:rsidP="00035D96">
            <w:pPr>
              <w:rPr>
                <w:rFonts w:ascii="Arial" w:hAnsi="Arial" w:cs="Arial"/>
                <w:sz w:val="22"/>
                <w:szCs w:val="24"/>
              </w:rPr>
            </w:pPr>
          </w:p>
          <w:p w:rsidR="00FF2A7C" w:rsidRDefault="00FF2A7C" w:rsidP="00035D96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Wheelchair users are able to communicate more easily with the office staff.</w:t>
            </w:r>
          </w:p>
          <w:p w:rsidR="00FF2A7C" w:rsidRDefault="00FF2A7C" w:rsidP="00035D96">
            <w:pPr>
              <w:rPr>
                <w:rFonts w:ascii="Arial" w:hAnsi="Arial" w:cs="Arial"/>
                <w:sz w:val="22"/>
                <w:szCs w:val="24"/>
              </w:rPr>
            </w:pPr>
          </w:p>
          <w:p w:rsidR="00FF2A7C" w:rsidRDefault="00FF2A7C" w:rsidP="00035D96">
            <w:pPr>
              <w:rPr>
                <w:rFonts w:ascii="Arial" w:hAnsi="Arial" w:cs="Arial"/>
                <w:sz w:val="22"/>
                <w:szCs w:val="24"/>
              </w:rPr>
            </w:pPr>
          </w:p>
          <w:p w:rsidR="00FF2A7C" w:rsidRDefault="00FF2A7C" w:rsidP="00035D96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Parents with </w:t>
            </w:r>
            <w:r w:rsidR="00245AE9">
              <w:rPr>
                <w:rFonts w:ascii="Arial" w:hAnsi="Arial" w:cs="Arial"/>
                <w:sz w:val="22"/>
                <w:szCs w:val="24"/>
              </w:rPr>
              <w:t>buggies</w:t>
            </w:r>
            <w:r>
              <w:rPr>
                <w:rFonts w:ascii="Arial" w:hAnsi="Arial" w:cs="Arial"/>
                <w:sz w:val="22"/>
                <w:szCs w:val="24"/>
              </w:rPr>
              <w:t xml:space="preserve"> and those with mobility difficulties including wheel chair users are able to access the school more easily.</w:t>
            </w:r>
          </w:p>
          <w:p w:rsidR="00FF2A7C" w:rsidRDefault="00FF2A7C" w:rsidP="00035D96">
            <w:pPr>
              <w:rPr>
                <w:rFonts w:ascii="Arial" w:hAnsi="Arial" w:cs="Arial"/>
                <w:sz w:val="22"/>
                <w:szCs w:val="24"/>
              </w:rPr>
            </w:pPr>
          </w:p>
          <w:p w:rsidR="00FF2A7C" w:rsidRPr="00A3167E" w:rsidRDefault="00FF2A7C" w:rsidP="00035D96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Easier access for those with restricted mobility and wheelchair users.</w:t>
            </w:r>
          </w:p>
        </w:tc>
        <w:tc>
          <w:tcPr>
            <w:tcW w:w="1701" w:type="dxa"/>
          </w:tcPr>
          <w:p w:rsidR="00CB2203" w:rsidRDefault="00245AE9" w:rsidP="00FF2A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Resources Committee to consider and proposals agreed</w:t>
            </w:r>
          </w:p>
          <w:p w:rsidR="00245AE9" w:rsidRDefault="00245AE9" w:rsidP="00FF2A7C">
            <w:pPr>
              <w:rPr>
                <w:rFonts w:ascii="Arial" w:hAnsi="Arial" w:cs="Arial"/>
                <w:sz w:val="22"/>
                <w:szCs w:val="22"/>
              </w:rPr>
            </w:pPr>
          </w:p>
          <w:p w:rsidR="00245AE9" w:rsidRDefault="00245AE9" w:rsidP="00FF2A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Quotes to be obtained. (SH / MV)</w:t>
            </w:r>
          </w:p>
          <w:p w:rsidR="00245AE9" w:rsidRDefault="00245AE9" w:rsidP="00FF2A7C">
            <w:pPr>
              <w:rPr>
                <w:rFonts w:ascii="Arial" w:hAnsi="Arial" w:cs="Arial"/>
                <w:sz w:val="22"/>
                <w:szCs w:val="22"/>
              </w:rPr>
            </w:pPr>
          </w:p>
          <w:p w:rsidR="00245AE9" w:rsidRDefault="00245AE9" w:rsidP="00FF2A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 to be actioned as agreed and as budget is available.</w:t>
            </w:r>
          </w:p>
          <w:p w:rsidR="00245AE9" w:rsidRDefault="00245AE9" w:rsidP="00FF2A7C">
            <w:pPr>
              <w:rPr>
                <w:rFonts w:ascii="Arial" w:hAnsi="Arial" w:cs="Arial"/>
                <w:sz w:val="22"/>
                <w:szCs w:val="22"/>
              </w:rPr>
            </w:pPr>
          </w:p>
          <w:p w:rsidR="00245AE9" w:rsidRDefault="00245AE9" w:rsidP="00FF2A7C">
            <w:pPr>
              <w:rPr>
                <w:rFonts w:ascii="Arial" w:hAnsi="Arial" w:cs="Arial"/>
                <w:sz w:val="22"/>
                <w:szCs w:val="22"/>
              </w:rPr>
            </w:pPr>
          </w:p>
          <w:p w:rsidR="00FF2A7C" w:rsidRPr="001340DC" w:rsidRDefault="00FF2A7C" w:rsidP="00FF2A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</w:tcPr>
          <w:p w:rsidR="00A3167E" w:rsidRDefault="00245AE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Aut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2015</w:t>
            </w:r>
          </w:p>
          <w:p w:rsidR="00245AE9" w:rsidRDefault="00245AE9">
            <w:pPr>
              <w:rPr>
                <w:rFonts w:ascii="Arial" w:hAnsi="Arial" w:cs="Arial"/>
                <w:sz w:val="22"/>
                <w:szCs w:val="22"/>
              </w:rPr>
            </w:pPr>
          </w:p>
          <w:p w:rsidR="00245AE9" w:rsidRDefault="00245AE9">
            <w:pPr>
              <w:rPr>
                <w:rFonts w:ascii="Arial" w:hAnsi="Arial" w:cs="Arial"/>
                <w:sz w:val="22"/>
                <w:szCs w:val="22"/>
              </w:rPr>
            </w:pPr>
          </w:p>
          <w:p w:rsidR="00245AE9" w:rsidRDefault="00245AE9">
            <w:pPr>
              <w:rPr>
                <w:rFonts w:ascii="Arial" w:hAnsi="Arial" w:cs="Arial"/>
                <w:sz w:val="22"/>
                <w:szCs w:val="22"/>
              </w:rPr>
            </w:pPr>
          </w:p>
          <w:p w:rsidR="00245AE9" w:rsidRDefault="00245AE9">
            <w:pPr>
              <w:rPr>
                <w:rFonts w:ascii="Arial" w:hAnsi="Arial" w:cs="Arial"/>
                <w:sz w:val="22"/>
                <w:szCs w:val="22"/>
              </w:rPr>
            </w:pPr>
          </w:p>
          <w:p w:rsidR="00245AE9" w:rsidRDefault="00245A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Spring 2016</w:t>
            </w:r>
          </w:p>
          <w:p w:rsidR="00245AE9" w:rsidRDefault="00245AE9">
            <w:pPr>
              <w:rPr>
                <w:rFonts w:ascii="Arial" w:hAnsi="Arial" w:cs="Arial"/>
                <w:sz w:val="22"/>
                <w:szCs w:val="22"/>
              </w:rPr>
            </w:pPr>
          </w:p>
          <w:p w:rsidR="00245AE9" w:rsidRDefault="00245AE9">
            <w:pPr>
              <w:rPr>
                <w:rFonts w:ascii="Arial" w:hAnsi="Arial" w:cs="Arial"/>
                <w:sz w:val="22"/>
                <w:szCs w:val="22"/>
              </w:rPr>
            </w:pPr>
          </w:p>
          <w:p w:rsidR="00245AE9" w:rsidRDefault="00245AE9">
            <w:pPr>
              <w:rPr>
                <w:rFonts w:ascii="Arial" w:hAnsi="Arial" w:cs="Arial"/>
                <w:sz w:val="22"/>
                <w:szCs w:val="22"/>
              </w:rPr>
            </w:pPr>
          </w:p>
          <w:p w:rsidR="00245AE9" w:rsidRDefault="00245A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2016/17</w:t>
            </w:r>
          </w:p>
          <w:p w:rsidR="00245AE9" w:rsidRDefault="00245AE9">
            <w:pPr>
              <w:rPr>
                <w:rFonts w:ascii="Arial" w:hAnsi="Arial" w:cs="Arial"/>
                <w:sz w:val="22"/>
                <w:szCs w:val="22"/>
              </w:rPr>
            </w:pPr>
          </w:p>
          <w:p w:rsidR="00245AE9" w:rsidRDefault="00245AE9">
            <w:pPr>
              <w:rPr>
                <w:rFonts w:ascii="Arial" w:hAnsi="Arial" w:cs="Arial"/>
                <w:sz w:val="22"/>
                <w:szCs w:val="22"/>
              </w:rPr>
            </w:pPr>
          </w:p>
          <w:p w:rsidR="00245AE9" w:rsidRDefault="00245AE9">
            <w:pPr>
              <w:rPr>
                <w:rFonts w:ascii="Arial" w:hAnsi="Arial" w:cs="Arial"/>
                <w:sz w:val="22"/>
                <w:szCs w:val="22"/>
              </w:rPr>
            </w:pPr>
          </w:p>
          <w:p w:rsidR="00245AE9" w:rsidRDefault="00245AE9">
            <w:pPr>
              <w:rPr>
                <w:rFonts w:ascii="Arial" w:hAnsi="Arial" w:cs="Arial"/>
                <w:sz w:val="22"/>
                <w:szCs w:val="22"/>
              </w:rPr>
            </w:pPr>
          </w:p>
          <w:p w:rsidR="00245AE9" w:rsidRDefault="00245AE9">
            <w:pPr>
              <w:rPr>
                <w:rFonts w:ascii="Arial" w:hAnsi="Arial" w:cs="Arial"/>
                <w:sz w:val="22"/>
                <w:szCs w:val="22"/>
              </w:rPr>
            </w:pPr>
          </w:p>
          <w:p w:rsidR="00245AE9" w:rsidRDefault="00245AE9">
            <w:pPr>
              <w:rPr>
                <w:rFonts w:ascii="Arial" w:hAnsi="Arial" w:cs="Arial"/>
                <w:sz w:val="22"/>
                <w:szCs w:val="22"/>
              </w:rPr>
            </w:pPr>
          </w:p>
          <w:p w:rsidR="00245AE9" w:rsidRPr="001340DC" w:rsidRDefault="00245A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2016/17</w:t>
            </w:r>
          </w:p>
        </w:tc>
        <w:tc>
          <w:tcPr>
            <w:tcW w:w="1418" w:type="dxa"/>
          </w:tcPr>
          <w:p w:rsidR="00A3167E" w:rsidRPr="001340DC" w:rsidRDefault="00430EDC" w:rsidP="00245A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On-going</w:t>
            </w:r>
            <w:r w:rsidR="00245AE9">
              <w:rPr>
                <w:rFonts w:ascii="Arial" w:hAnsi="Arial" w:cs="Arial"/>
                <w:sz w:val="22"/>
                <w:szCs w:val="22"/>
              </w:rPr>
              <w:t xml:space="preserve"> by HT and governors during </w:t>
            </w:r>
            <w:proofErr w:type="spellStart"/>
            <w:r w:rsidR="00245AE9">
              <w:rPr>
                <w:rFonts w:ascii="Arial" w:hAnsi="Arial" w:cs="Arial"/>
                <w:sz w:val="22"/>
                <w:szCs w:val="22"/>
              </w:rPr>
              <w:t>gov</w:t>
            </w:r>
            <w:proofErr w:type="spellEnd"/>
            <w:r w:rsidR="00245AE9">
              <w:rPr>
                <w:rFonts w:ascii="Arial" w:hAnsi="Arial" w:cs="Arial"/>
                <w:sz w:val="22"/>
                <w:szCs w:val="22"/>
              </w:rPr>
              <w:t xml:space="preserve"> meetings.</w:t>
            </w:r>
          </w:p>
        </w:tc>
        <w:tc>
          <w:tcPr>
            <w:tcW w:w="2649" w:type="dxa"/>
          </w:tcPr>
          <w:p w:rsidR="00A3167E" w:rsidRPr="001340DC" w:rsidRDefault="00D02098" w:rsidP="00137D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Ramp for access completed spring 2017</w:t>
            </w:r>
          </w:p>
        </w:tc>
      </w:tr>
      <w:tr w:rsidR="00245AE9" w:rsidRPr="00AC6BA7" w:rsidTr="00B12CF6">
        <w:tc>
          <w:tcPr>
            <w:tcW w:w="2516" w:type="dxa"/>
          </w:tcPr>
          <w:p w:rsidR="00245AE9" w:rsidRPr="000B68F4" w:rsidRDefault="00245AE9" w:rsidP="00671E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Pr="000B68F4">
              <w:rPr>
                <w:rFonts w:ascii="Arial" w:hAnsi="Arial" w:cs="Arial"/>
                <w:sz w:val="22"/>
                <w:szCs w:val="22"/>
              </w:rPr>
              <w:t>Continue training for teachers and support staff on different aspects of SEN</w:t>
            </w:r>
            <w:r>
              <w:rPr>
                <w:rFonts w:ascii="Arial" w:hAnsi="Arial" w:cs="Arial"/>
                <w:sz w:val="22"/>
                <w:szCs w:val="22"/>
              </w:rPr>
              <w:t>D,</w:t>
            </w:r>
            <w:r w:rsidRPr="000B68F4">
              <w:rPr>
                <w:rFonts w:ascii="Arial" w:hAnsi="Arial" w:cs="Arial"/>
                <w:sz w:val="22"/>
                <w:szCs w:val="22"/>
              </w:rPr>
              <w:t xml:space="preserve"> including differentiation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0B68F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as and </w:t>
            </w:r>
            <w:r w:rsidRPr="000B68F4">
              <w:rPr>
                <w:rFonts w:ascii="Arial" w:hAnsi="Arial" w:cs="Arial"/>
                <w:sz w:val="22"/>
                <w:szCs w:val="22"/>
              </w:rPr>
              <w:t xml:space="preserve">when required. </w:t>
            </w:r>
          </w:p>
        </w:tc>
        <w:tc>
          <w:tcPr>
            <w:tcW w:w="2979" w:type="dxa"/>
          </w:tcPr>
          <w:p w:rsidR="00245AE9" w:rsidRDefault="00245AE9" w:rsidP="00245AE9">
            <w:pPr>
              <w:rPr>
                <w:rFonts w:ascii="Arial" w:hAnsi="Arial" w:cs="Arial"/>
                <w:sz w:val="22"/>
                <w:szCs w:val="22"/>
              </w:rPr>
            </w:pPr>
            <w:r w:rsidRPr="000B68F4">
              <w:rPr>
                <w:rFonts w:ascii="Arial" w:hAnsi="Arial" w:cs="Arial"/>
                <w:sz w:val="22"/>
                <w:szCs w:val="22"/>
              </w:rPr>
              <w:t xml:space="preserve">Review the needs of children with specific issues, </w:t>
            </w:r>
            <w:r>
              <w:rPr>
                <w:rFonts w:ascii="Arial" w:hAnsi="Arial" w:cs="Arial"/>
                <w:sz w:val="22"/>
                <w:szCs w:val="22"/>
              </w:rPr>
              <w:t>identify the barriers to learning.</w:t>
            </w:r>
          </w:p>
          <w:p w:rsidR="00245AE9" w:rsidRDefault="00245AE9" w:rsidP="00245AE9">
            <w:pPr>
              <w:rPr>
                <w:rFonts w:ascii="Arial" w:hAnsi="Arial" w:cs="Arial"/>
                <w:sz w:val="22"/>
                <w:szCs w:val="22"/>
              </w:rPr>
            </w:pPr>
          </w:p>
          <w:p w:rsidR="00245AE9" w:rsidRDefault="00245AE9" w:rsidP="00245A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Consider CPD implications.</w:t>
            </w:r>
          </w:p>
          <w:p w:rsidR="00245AE9" w:rsidRDefault="00245AE9" w:rsidP="00245AE9">
            <w:pPr>
              <w:rPr>
                <w:rFonts w:ascii="Arial" w:hAnsi="Arial" w:cs="Arial"/>
                <w:sz w:val="22"/>
                <w:szCs w:val="22"/>
              </w:rPr>
            </w:pPr>
          </w:p>
          <w:p w:rsidR="00245AE9" w:rsidRPr="000B68F4" w:rsidRDefault="00245AE9" w:rsidP="00245A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Track the progress of children.</w:t>
            </w:r>
          </w:p>
        </w:tc>
        <w:tc>
          <w:tcPr>
            <w:tcW w:w="2691" w:type="dxa"/>
          </w:tcPr>
          <w:p w:rsidR="00245AE9" w:rsidRDefault="00245AE9" w:rsidP="00671E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Needs will be identified and actions to address these will have been determined.</w:t>
            </w:r>
          </w:p>
          <w:p w:rsidR="00245AE9" w:rsidRDefault="00245AE9" w:rsidP="00671E33">
            <w:pPr>
              <w:rPr>
                <w:rFonts w:ascii="Arial" w:hAnsi="Arial" w:cs="Arial"/>
                <w:sz w:val="22"/>
                <w:szCs w:val="22"/>
              </w:rPr>
            </w:pPr>
          </w:p>
          <w:p w:rsidR="00245AE9" w:rsidRDefault="00245AE9" w:rsidP="00671E33">
            <w:pPr>
              <w:rPr>
                <w:rFonts w:ascii="Arial" w:hAnsi="Arial" w:cs="Arial"/>
                <w:sz w:val="22"/>
                <w:szCs w:val="22"/>
              </w:rPr>
            </w:pPr>
          </w:p>
          <w:p w:rsidR="00245AE9" w:rsidRDefault="00245AE9" w:rsidP="00671E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Appropriate training will be planned and given to address CPD that will have an impact on pupil outcomes.</w:t>
            </w:r>
          </w:p>
          <w:p w:rsidR="00245AE9" w:rsidRDefault="00245AE9" w:rsidP="00671E33">
            <w:pPr>
              <w:rPr>
                <w:rFonts w:ascii="Arial" w:hAnsi="Arial" w:cs="Arial"/>
                <w:sz w:val="22"/>
                <w:szCs w:val="22"/>
              </w:rPr>
            </w:pPr>
          </w:p>
          <w:p w:rsidR="00245AE9" w:rsidRPr="000B68F4" w:rsidRDefault="00245AE9" w:rsidP="00671E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impact of the actions on pupil outcomes will be known.</w:t>
            </w:r>
          </w:p>
        </w:tc>
        <w:tc>
          <w:tcPr>
            <w:tcW w:w="1701" w:type="dxa"/>
          </w:tcPr>
          <w:p w:rsidR="00245AE9" w:rsidRDefault="00245AE9" w:rsidP="00671E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HT, SLT, SENCo</w:t>
            </w:r>
          </w:p>
        </w:tc>
        <w:tc>
          <w:tcPr>
            <w:tcW w:w="1277" w:type="dxa"/>
          </w:tcPr>
          <w:p w:rsidR="00245AE9" w:rsidRDefault="00245AE9" w:rsidP="00245A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½ termly </w:t>
            </w:r>
          </w:p>
          <w:p w:rsidR="00245AE9" w:rsidRDefault="00245AE9" w:rsidP="00245A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 in accordance with the monitoring schedule</w:t>
            </w:r>
          </w:p>
          <w:p w:rsidR="00245AE9" w:rsidRDefault="00245AE9" w:rsidP="00671E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245AE9" w:rsidRDefault="00245AE9" w:rsidP="00245A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PPMs</w:t>
            </w:r>
          </w:p>
          <w:p w:rsidR="00245AE9" w:rsidRDefault="00245AE9" w:rsidP="00245A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During monitoring of T,L &amp; A</w:t>
            </w:r>
          </w:p>
          <w:p w:rsidR="00245AE9" w:rsidRDefault="00245AE9" w:rsidP="00245A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On-going</w:t>
            </w:r>
          </w:p>
        </w:tc>
        <w:tc>
          <w:tcPr>
            <w:tcW w:w="2649" w:type="dxa"/>
          </w:tcPr>
          <w:p w:rsidR="00245AE9" w:rsidRPr="001340DC" w:rsidRDefault="00D02098" w:rsidP="00137D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 – going data tracking to ensure equality of access and provision for pupils with additional needs. (Autumn 2017)</w:t>
            </w:r>
          </w:p>
        </w:tc>
      </w:tr>
      <w:tr w:rsidR="00F474A9" w:rsidRPr="00AC6BA7" w:rsidTr="00B12CF6">
        <w:tc>
          <w:tcPr>
            <w:tcW w:w="2516" w:type="dxa"/>
          </w:tcPr>
          <w:p w:rsidR="00F474A9" w:rsidRPr="00F474A9" w:rsidRDefault="00F474A9" w:rsidP="00BF7E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474A9">
              <w:rPr>
                <w:rFonts w:ascii="Arial" w:hAnsi="Arial" w:cs="Arial"/>
                <w:b/>
                <w:sz w:val="22"/>
                <w:szCs w:val="22"/>
              </w:rPr>
              <w:lastRenderedPageBreak/>
              <w:t>Objective</w:t>
            </w:r>
          </w:p>
        </w:tc>
        <w:tc>
          <w:tcPr>
            <w:tcW w:w="2979" w:type="dxa"/>
          </w:tcPr>
          <w:p w:rsidR="00F474A9" w:rsidRPr="00F474A9" w:rsidRDefault="00F474A9" w:rsidP="00BF7E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474A9">
              <w:rPr>
                <w:rFonts w:ascii="Arial" w:hAnsi="Arial" w:cs="Arial"/>
                <w:b/>
                <w:sz w:val="22"/>
                <w:szCs w:val="22"/>
              </w:rPr>
              <w:t>Action</w:t>
            </w:r>
          </w:p>
        </w:tc>
        <w:tc>
          <w:tcPr>
            <w:tcW w:w="2691" w:type="dxa"/>
          </w:tcPr>
          <w:p w:rsidR="00F474A9" w:rsidRPr="00F474A9" w:rsidRDefault="00F474A9" w:rsidP="00BF7E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474A9">
              <w:rPr>
                <w:rFonts w:ascii="Arial" w:hAnsi="Arial" w:cs="Arial"/>
                <w:b/>
                <w:sz w:val="22"/>
                <w:szCs w:val="22"/>
              </w:rPr>
              <w:t>Success Criteria</w:t>
            </w:r>
          </w:p>
        </w:tc>
        <w:tc>
          <w:tcPr>
            <w:tcW w:w="1701" w:type="dxa"/>
            <w:vAlign w:val="center"/>
          </w:tcPr>
          <w:p w:rsidR="00F474A9" w:rsidRPr="00F474A9" w:rsidRDefault="00F474A9" w:rsidP="00BF7E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74A9">
              <w:rPr>
                <w:rFonts w:ascii="Arial" w:hAnsi="Arial" w:cs="Arial"/>
                <w:b/>
                <w:sz w:val="22"/>
                <w:szCs w:val="22"/>
              </w:rPr>
              <w:t>Who to action</w:t>
            </w:r>
          </w:p>
        </w:tc>
        <w:tc>
          <w:tcPr>
            <w:tcW w:w="1277" w:type="dxa"/>
            <w:vAlign w:val="center"/>
          </w:tcPr>
          <w:p w:rsidR="00F474A9" w:rsidRPr="00F474A9" w:rsidRDefault="00F474A9" w:rsidP="00BF7E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74A9">
              <w:rPr>
                <w:rFonts w:ascii="Arial" w:hAnsi="Arial" w:cs="Arial"/>
                <w:b/>
                <w:sz w:val="22"/>
                <w:szCs w:val="22"/>
              </w:rPr>
              <w:t>When</w:t>
            </w:r>
          </w:p>
        </w:tc>
        <w:tc>
          <w:tcPr>
            <w:tcW w:w="1418" w:type="dxa"/>
            <w:vAlign w:val="center"/>
          </w:tcPr>
          <w:p w:rsidR="00F474A9" w:rsidRPr="00F474A9" w:rsidRDefault="00F474A9" w:rsidP="00BF7E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74A9">
              <w:rPr>
                <w:rFonts w:ascii="Arial" w:hAnsi="Arial" w:cs="Arial"/>
                <w:b/>
                <w:sz w:val="22"/>
                <w:szCs w:val="22"/>
              </w:rPr>
              <w:t>Monitoring</w:t>
            </w:r>
          </w:p>
        </w:tc>
        <w:tc>
          <w:tcPr>
            <w:tcW w:w="2649" w:type="dxa"/>
          </w:tcPr>
          <w:p w:rsidR="00F474A9" w:rsidRPr="00F474A9" w:rsidRDefault="00F474A9" w:rsidP="00BF7E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474A9">
              <w:rPr>
                <w:rFonts w:ascii="Arial" w:hAnsi="Arial" w:cs="Arial"/>
                <w:b/>
                <w:sz w:val="22"/>
                <w:szCs w:val="22"/>
              </w:rPr>
              <w:t>Further action</w:t>
            </w:r>
          </w:p>
        </w:tc>
      </w:tr>
      <w:tr w:rsidR="00F474A9" w:rsidRPr="00AC6BA7" w:rsidTr="00B12CF6">
        <w:tc>
          <w:tcPr>
            <w:tcW w:w="2516" w:type="dxa"/>
          </w:tcPr>
          <w:p w:rsidR="00F474A9" w:rsidRDefault="00B12CF6" w:rsidP="00245E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="00F474A9">
              <w:rPr>
                <w:rFonts w:ascii="Arial" w:hAnsi="Arial" w:cs="Arial"/>
                <w:sz w:val="22"/>
                <w:szCs w:val="22"/>
              </w:rPr>
              <w:t>The school environment including classroom furniture, resources and equipment meet the needs of all pupils. Adaptations are implemented as soon as the need is identified</w:t>
            </w:r>
            <w:r w:rsidR="00F474A9" w:rsidRPr="000C6274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F474A9" w:rsidRPr="000C6274" w:rsidRDefault="00F474A9" w:rsidP="00245E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9" w:type="dxa"/>
          </w:tcPr>
          <w:p w:rsidR="00F474A9" w:rsidRPr="000C6274" w:rsidRDefault="00F474A9" w:rsidP="00245E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Specific needs are identified quickly through meetings with parents and specialist advisors.</w:t>
            </w:r>
          </w:p>
        </w:tc>
        <w:tc>
          <w:tcPr>
            <w:tcW w:w="2691" w:type="dxa"/>
          </w:tcPr>
          <w:p w:rsidR="00F474A9" w:rsidRPr="000C6274" w:rsidRDefault="00F474A9" w:rsidP="00245E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Adjustments will be made as quickly as possible to enable all children to fully access the curriculum and to support good progress with their learning.</w:t>
            </w:r>
          </w:p>
        </w:tc>
        <w:tc>
          <w:tcPr>
            <w:tcW w:w="1701" w:type="dxa"/>
          </w:tcPr>
          <w:p w:rsidR="00F474A9" w:rsidRDefault="00F474A9" w:rsidP="00245E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teachers, SENCO</w:t>
            </w:r>
          </w:p>
          <w:p w:rsidR="00F474A9" w:rsidRDefault="00F474A9" w:rsidP="00245E4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Govs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to agree any building adjustments or significant spending needed.</w:t>
            </w:r>
          </w:p>
          <w:p w:rsidR="00F474A9" w:rsidRDefault="00F474A9" w:rsidP="00245E47">
            <w:pPr>
              <w:rPr>
                <w:rFonts w:ascii="Arial" w:hAnsi="Arial" w:cs="Arial"/>
                <w:sz w:val="22"/>
                <w:szCs w:val="22"/>
              </w:rPr>
            </w:pPr>
          </w:p>
          <w:p w:rsidR="00F474A9" w:rsidRDefault="00F474A9" w:rsidP="00245E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</w:tcPr>
          <w:p w:rsidR="00F474A9" w:rsidRDefault="00F474A9" w:rsidP="00245E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start as soon as the need is identified</w:t>
            </w:r>
          </w:p>
        </w:tc>
        <w:tc>
          <w:tcPr>
            <w:tcW w:w="1418" w:type="dxa"/>
          </w:tcPr>
          <w:p w:rsidR="00F474A9" w:rsidRDefault="00F474A9" w:rsidP="00245E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</w:t>
            </w:r>
          </w:p>
          <w:p w:rsidR="00F474A9" w:rsidRDefault="00F474A9" w:rsidP="00245E4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Govs</w:t>
            </w:r>
            <w:proofErr w:type="spellEnd"/>
          </w:p>
        </w:tc>
        <w:tc>
          <w:tcPr>
            <w:tcW w:w="2649" w:type="dxa"/>
          </w:tcPr>
          <w:p w:rsidR="00F474A9" w:rsidRPr="001340DC" w:rsidRDefault="00F474A9" w:rsidP="00137D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74A9" w:rsidRPr="00AC6BA7" w:rsidTr="00B12CF6">
        <w:trPr>
          <w:trHeight w:val="2095"/>
        </w:trPr>
        <w:tc>
          <w:tcPr>
            <w:tcW w:w="2516" w:type="dxa"/>
          </w:tcPr>
          <w:p w:rsidR="00F474A9" w:rsidRPr="00035D96" w:rsidRDefault="00B12CF6" w:rsidP="00035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 </w:t>
            </w:r>
            <w:r w:rsidR="00F474A9" w:rsidRPr="00035D96">
              <w:rPr>
                <w:rFonts w:ascii="Arial" w:hAnsi="Arial" w:cs="Arial"/>
                <w:sz w:val="22"/>
                <w:szCs w:val="22"/>
              </w:rPr>
              <w:t xml:space="preserve">Access arrangements to meet individual’s needs when taking tests </w:t>
            </w:r>
            <w:proofErr w:type="spellStart"/>
            <w:r w:rsidR="00F474A9" w:rsidRPr="00035D96"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 w:rsidR="00F474A9" w:rsidRPr="00035D96">
              <w:rPr>
                <w:rFonts w:ascii="Arial" w:hAnsi="Arial" w:cs="Arial"/>
                <w:sz w:val="22"/>
                <w:szCs w:val="22"/>
              </w:rPr>
              <w:t xml:space="preserve"> will be applied for</w:t>
            </w:r>
            <w:r w:rsidR="00F474A9">
              <w:rPr>
                <w:rFonts w:ascii="Arial" w:hAnsi="Arial" w:cs="Arial"/>
                <w:sz w:val="22"/>
                <w:szCs w:val="22"/>
              </w:rPr>
              <w:t>,</w:t>
            </w:r>
            <w:r w:rsidR="00F474A9" w:rsidRPr="00035D96">
              <w:rPr>
                <w:rFonts w:ascii="Arial" w:hAnsi="Arial" w:cs="Arial"/>
                <w:sz w:val="22"/>
                <w:szCs w:val="22"/>
              </w:rPr>
              <w:t xml:space="preserve"> and support provided</w:t>
            </w:r>
            <w:r w:rsidR="00F474A9">
              <w:rPr>
                <w:rFonts w:ascii="Arial" w:hAnsi="Arial" w:cs="Arial"/>
                <w:sz w:val="22"/>
                <w:szCs w:val="22"/>
              </w:rPr>
              <w:t xml:space="preserve">, as and </w:t>
            </w:r>
            <w:r w:rsidR="00F474A9" w:rsidRPr="00035D96">
              <w:rPr>
                <w:rFonts w:ascii="Arial" w:hAnsi="Arial" w:cs="Arial"/>
                <w:sz w:val="22"/>
                <w:szCs w:val="22"/>
              </w:rPr>
              <w:t xml:space="preserve"> when required</w:t>
            </w:r>
            <w:r w:rsidR="00F474A9">
              <w:rPr>
                <w:rFonts w:ascii="Arial" w:hAnsi="Arial" w:cs="Arial"/>
                <w:sz w:val="22"/>
                <w:szCs w:val="22"/>
              </w:rPr>
              <w:t>, e.g. Year 6 SATs</w:t>
            </w:r>
            <w:r w:rsidR="00F474A9" w:rsidRPr="00035D96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2979" w:type="dxa"/>
          </w:tcPr>
          <w:p w:rsidR="00F474A9" w:rsidRPr="00035D96" w:rsidRDefault="00F474A9" w:rsidP="00035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HT/DHT/Year 6 teacher/SENCo</w:t>
            </w:r>
            <w:r w:rsidRPr="00035D96">
              <w:rPr>
                <w:rFonts w:ascii="Arial" w:hAnsi="Arial" w:cs="Arial"/>
                <w:sz w:val="22"/>
                <w:szCs w:val="22"/>
              </w:rPr>
              <w:t xml:space="preserve"> will ensure appropriate testing and reports are provided in order to apply for access arrangements. </w:t>
            </w:r>
          </w:p>
        </w:tc>
        <w:tc>
          <w:tcPr>
            <w:tcW w:w="2691" w:type="dxa"/>
          </w:tcPr>
          <w:p w:rsidR="00F474A9" w:rsidRPr="00035D96" w:rsidRDefault="00F474A9" w:rsidP="00035D96">
            <w:pPr>
              <w:rPr>
                <w:rFonts w:ascii="Arial" w:hAnsi="Arial" w:cs="Arial"/>
                <w:sz w:val="22"/>
                <w:szCs w:val="22"/>
              </w:rPr>
            </w:pPr>
            <w:r w:rsidRPr="00035D96">
              <w:rPr>
                <w:rFonts w:ascii="Arial" w:hAnsi="Arial" w:cs="Arial"/>
                <w:sz w:val="22"/>
                <w:szCs w:val="22"/>
              </w:rPr>
              <w:t>All pupils will have their individual needs met, and any barriers to achieving their full potential will be removed.</w:t>
            </w:r>
          </w:p>
        </w:tc>
        <w:tc>
          <w:tcPr>
            <w:tcW w:w="1701" w:type="dxa"/>
          </w:tcPr>
          <w:p w:rsidR="00F474A9" w:rsidRDefault="00F474A9" w:rsidP="00914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Year 6 teacher and SENCo</w:t>
            </w:r>
          </w:p>
        </w:tc>
        <w:tc>
          <w:tcPr>
            <w:tcW w:w="1277" w:type="dxa"/>
          </w:tcPr>
          <w:p w:rsidR="00F474A9" w:rsidRDefault="00F474A9" w:rsidP="00245A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Access arrangements submitted within the SATs timeframe.</w:t>
            </w:r>
          </w:p>
        </w:tc>
        <w:tc>
          <w:tcPr>
            <w:tcW w:w="1418" w:type="dxa"/>
          </w:tcPr>
          <w:p w:rsidR="00F474A9" w:rsidRDefault="00F474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</w:t>
            </w:r>
          </w:p>
          <w:p w:rsidR="00B12CF6" w:rsidRDefault="00B12CF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Govs</w:t>
            </w:r>
            <w:proofErr w:type="spellEnd"/>
          </w:p>
        </w:tc>
        <w:tc>
          <w:tcPr>
            <w:tcW w:w="2649" w:type="dxa"/>
          </w:tcPr>
          <w:p w:rsidR="00F474A9" w:rsidRPr="001340DC" w:rsidRDefault="00F474A9" w:rsidP="00137D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2CF6" w:rsidRPr="00AC6BA7" w:rsidTr="00B12CF6">
        <w:tc>
          <w:tcPr>
            <w:tcW w:w="2516" w:type="dxa"/>
          </w:tcPr>
          <w:p w:rsidR="00B12CF6" w:rsidRPr="00035D96" w:rsidRDefault="00B12CF6" w:rsidP="00035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Curriculum provision to be evaluated and developed to ensure that aspects of SMSC support children’s understanding of equality and diversity and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that opportunities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for this learning is maximised.</w:t>
            </w:r>
          </w:p>
        </w:tc>
        <w:tc>
          <w:tcPr>
            <w:tcW w:w="2979" w:type="dxa"/>
          </w:tcPr>
          <w:p w:rsidR="00B12CF6" w:rsidRDefault="00B12CF6" w:rsidP="00035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provision of SMSC.</w:t>
            </w:r>
          </w:p>
          <w:p w:rsidR="00B12CF6" w:rsidRDefault="00B12CF6" w:rsidP="00035D96">
            <w:pPr>
              <w:rPr>
                <w:rFonts w:ascii="Arial" w:hAnsi="Arial" w:cs="Arial"/>
                <w:sz w:val="22"/>
                <w:szCs w:val="22"/>
              </w:rPr>
            </w:pPr>
          </w:p>
          <w:p w:rsidR="00B12CF6" w:rsidRDefault="00B12CF6" w:rsidP="00035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Summary placed on website.</w:t>
            </w:r>
          </w:p>
          <w:p w:rsidR="00B12CF6" w:rsidRDefault="00B12CF6" w:rsidP="00035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Action any areas not effectively covered</w:t>
            </w:r>
          </w:p>
          <w:p w:rsidR="00B12CF6" w:rsidRDefault="00B12CF6" w:rsidP="00035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Continue to have ‘anti-bullying ‘Friendship week.</w:t>
            </w:r>
          </w:p>
          <w:p w:rsidR="00B12CF6" w:rsidRDefault="00B12CF6" w:rsidP="00035D96">
            <w:pPr>
              <w:rPr>
                <w:rFonts w:ascii="Arial" w:hAnsi="Arial" w:cs="Arial"/>
                <w:sz w:val="22"/>
                <w:szCs w:val="22"/>
              </w:rPr>
            </w:pPr>
          </w:p>
          <w:p w:rsidR="00B12CF6" w:rsidRDefault="00B12CF6" w:rsidP="00035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Review work and resources on display around the school to make sure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that opportunities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to promote different cultures and equality of all protected groups is evident.</w:t>
            </w:r>
          </w:p>
          <w:p w:rsidR="00B12CF6" w:rsidRDefault="00B12CF6" w:rsidP="00035D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B12CF6" w:rsidRPr="00035D96" w:rsidRDefault="00B12CF6" w:rsidP="00035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Provision for SMSC is outstanding and supports our aims for equality of provision and learning.</w:t>
            </w:r>
          </w:p>
        </w:tc>
        <w:tc>
          <w:tcPr>
            <w:tcW w:w="1701" w:type="dxa"/>
          </w:tcPr>
          <w:p w:rsidR="00B12CF6" w:rsidRDefault="00B12CF6" w:rsidP="00914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SMSC leader</w:t>
            </w:r>
          </w:p>
          <w:p w:rsidR="00B12CF6" w:rsidRDefault="00B12CF6" w:rsidP="00914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teachers</w:t>
            </w:r>
          </w:p>
        </w:tc>
        <w:tc>
          <w:tcPr>
            <w:tcW w:w="1277" w:type="dxa"/>
          </w:tcPr>
          <w:p w:rsidR="00B12CF6" w:rsidRDefault="00B12CF6" w:rsidP="00245A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Sept 2015</w:t>
            </w:r>
          </w:p>
          <w:p w:rsidR="00B12CF6" w:rsidRDefault="00B12CF6" w:rsidP="00245A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On-going</w:t>
            </w:r>
          </w:p>
        </w:tc>
        <w:tc>
          <w:tcPr>
            <w:tcW w:w="1418" w:type="dxa"/>
          </w:tcPr>
          <w:p w:rsidR="00B12CF6" w:rsidRDefault="00B12C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</w:t>
            </w:r>
          </w:p>
          <w:p w:rsidR="00B12CF6" w:rsidRDefault="00B12CF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Govs</w:t>
            </w:r>
            <w:proofErr w:type="spellEnd"/>
          </w:p>
        </w:tc>
        <w:tc>
          <w:tcPr>
            <w:tcW w:w="2649" w:type="dxa"/>
          </w:tcPr>
          <w:p w:rsidR="00B12CF6" w:rsidRDefault="00D02098" w:rsidP="00137D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 SMSC curriculum including planning implemented during Autumn 2017.  Development work to continue over the year.</w:t>
            </w:r>
          </w:p>
          <w:p w:rsidR="00D02098" w:rsidRDefault="00D02098" w:rsidP="00137DEF">
            <w:pPr>
              <w:rPr>
                <w:rFonts w:ascii="Arial" w:hAnsi="Arial" w:cs="Arial"/>
                <w:sz w:val="22"/>
                <w:szCs w:val="22"/>
              </w:rPr>
            </w:pPr>
          </w:p>
          <w:p w:rsidR="00D02098" w:rsidRPr="001340DC" w:rsidRDefault="00D02098" w:rsidP="00137D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Work on Growth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Mindset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and learning values also started summer 2017 and a priority in the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School  Development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plan for 2017 /18.</w:t>
            </w:r>
          </w:p>
        </w:tc>
      </w:tr>
      <w:tr w:rsidR="00F474A9" w:rsidRPr="00AC6BA7" w:rsidTr="00B12CF6">
        <w:trPr>
          <w:trHeight w:val="455"/>
        </w:trPr>
        <w:tc>
          <w:tcPr>
            <w:tcW w:w="2516" w:type="dxa"/>
          </w:tcPr>
          <w:p w:rsidR="00F474A9" w:rsidRPr="00F474A9" w:rsidRDefault="00F474A9" w:rsidP="00BF7E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474A9">
              <w:rPr>
                <w:rFonts w:ascii="Arial" w:hAnsi="Arial" w:cs="Arial"/>
                <w:b/>
                <w:sz w:val="22"/>
                <w:szCs w:val="22"/>
              </w:rPr>
              <w:lastRenderedPageBreak/>
              <w:t>Objective</w:t>
            </w:r>
          </w:p>
        </w:tc>
        <w:tc>
          <w:tcPr>
            <w:tcW w:w="2979" w:type="dxa"/>
          </w:tcPr>
          <w:p w:rsidR="00F474A9" w:rsidRPr="00F474A9" w:rsidRDefault="00F474A9" w:rsidP="00BF7E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474A9">
              <w:rPr>
                <w:rFonts w:ascii="Arial" w:hAnsi="Arial" w:cs="Arial"/>
                <w:b/>
                <w:sz w:val="22"/>
                <w:szCs w:val="22"/>
              </w:rPr>
              <w:t>Action</w:t>
            </w:r>
          </w:p>
        </w:tc>
        <w:tc>
          <w:tcPr>
            <w:tcW w:w="2691" w:type="dxa"/>
          </w:tcPr>
          <w:p w:rsidR="00F474A9" w:rsidRPr="00F474A9" w:rsidRDefault="00F474A9" w:rsidP="00BF7E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474A9">
              <w:rPr>
                <w:rFonts w:ascii="Arial" w:hAnsi="Arial" w:cs="Arial"/>
                <w:b/>
                <w:sz w:val="22"/>
                <w:szCs w:val="22"/>
              </w:rPr>
              <w:t>Success Criteria</w:t>
            </w:r>
          </w:p>
        </w:tc>
        <w:tc>
          <w:tcPr>
            <w:tcW w:w="1701" w:type="dxa"/>
            <w:vAlign w:val="center"/>
          </w:tcPr>
          <w:p w:rsidR="00F474A9" w:rsidRPr="00F474A9" w:rsidRDefault="00F474A9" w:rsidP="00BF7E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74A9">
              <w:rPr>
                <w:rFonts w:ascii="Arial" w:hAnsi="Arial" w:cs="Arial"/>
                <w:b/>
                <w:sz w:val="22"/>
                <w:szCs w:val="22"/>
              </w:rPr>
              <w:t>Who to action</w:t>
            </w:r>
          </w:p>
        </w:tc>
        <w:tc>
          <w:tcPr>
            <w:tcW w:w="1277" w:type="dxa"/>
            <w:vAlign w:val="center"/>
          </w:tcPr>
          <w:p w:rsidR="00F474A9" w:rsidRPr="00F474A9" w:rsidRDefault="00F474A9" w:rsidP="00BF7E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74A9">
              <w:rPr>
                <w:rFonts w:ascii="Arial" w:hAnsi="Arial" w:cs="Arial"/>
                <w:b/>
                <w:sz w:val="22"/>
                <w:szCs w:val="22"/>
              </w:rPr>
              <w:t>When</w:t>
            </w:r>
          </w:p>
        </w:tc>
        <w:tc>
          <w:tcPr>
            <w:tcW w:w="1418" w:type="dxa"/>
            <w:vAlign w:val="center"/>
          </w:tcPr>
          <w:p w:rsidR="00F474A9" w:rsidRPr="00F474A9" w:rsidRDefault="00F474A9" w:rsidP="00BF7E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74A9">
              <w:rPr>
                <w:rFonts w:ascii="Arial" w:hAnsi="Arial" w:cs="Arial"/>
                <w:b/>
                <w:sz w:val="22"/>
                <w:szCs w:val="22"/>
              </w:rPr>
              <w:t>Monitoring</w:t>
            </w:r>
          </w:p>
        </w:tc>
        <w:tc>
          <w:tcPr>
            <w:tcW w:w="2649" w:type="dxa"/>
          </w:tcPr>
          <w:p w:rsidR="00F474A9" w:rsidRPr="00F474A9" w:rsidRDefault="00F474A9" w:rsidP="00BF7E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474A9">
              <w:rPr>
                <w:rFonts w:ascii="Arial" w:hAnsi="Arial" w:cs="Arial"/>
                <w:b/>
                <w:sz w:val="22"/>
                <w:szCs w:val="22"/>
              </w:rPr>
              <w:t>Further action</w:t>
            </w:r>
          </w:p>
        </w:tc>
      </w:tr>
      <w:tr w:rsidR="00F474A9" w:rsidRPr="00AC6BA7" w:rsidTr="00B12CF6">
        <w:trPr>
          <w:trHeight w:val="455"/>
        </w:trPr>
        <w:tc>
          <w:tcPr>
            <w:tcW w:w="2516" w:type="dxa"/>
          </w:tcPr>
          <w:p w:rsidR="00F474A9" w:rsidRPr="00035D96" w:rsidRDefault="00B12CF6" w:rsidP="00F474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6. </w:t>
            </w:r>
            <w:r w:rsidR="00F474A9">
              <w:rPr>
                <w:rFonts w:ascii="Arial" w:hAnsi="Arial" w:cs="Arial"/>
                <w:sz w:val="22"/>
                <w:szCs w:val="22"/>
              </w:rPr>
              <w:t>To ensure that all the schools published material is available in a format that can be accessed by all children (as relevant) staff, parents and governors</w:t>
            </w:r>
          </w:p>
        </w:tc>
        <w:tc>
          <w:tcPr>
            <w:tcW w:w="2979" w:type="dxa"/>
          </w:tcPr>
          <w:p w:rsidR="00F474A9" w:rsidRDefault="00F474A9" w:rsidP="00035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Offer materials in a different format where the need is identified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use of a yellow visual reader and yellow paper for children with dyslexia. Larger size print for those with visual impairment. Translation of key documents for non-English speakers.</w:t>
            </w:r>
          </w:p>
          <w:p w:rsidR="00B12CF6" w:rsidRPr="00035D96" w:rsidRDefault="00B12CF6" w:rsidP="00035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Make sure the school is compliant with the requirements for the website.</w:t>
            </w:r>
          </w:p>
        </w:tc>
        <w:tc>
          <w:tcPr>
            <w:tcW w:w="2691" w:type="dxa"/>
          </w:tcPr>
          <w:p w:rsidR="00F474A9" w:rsidRPr="00035D96" w:rsidRDefault="00F474A9" w:rsidP="00035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Key information will be available to enable all users </w:t>
            </w:r>
            <w:r w:rsidR="00B12CF6">
              <w:rPr>
                <w:rFonts w:ascii="Arial" w:hAnsi="Arial" w:cs="Arial"/>
                <w:sz w:val="22"/>
                <w:szCs w:val="22"/>
              </w:rPr>
              <w:t>to access information</w:t>
            </w:r>
          </w:p>
        </w:tc>
        <w:tc>
          <w:tcPr>
            <w:tcW w:w="1701" w:type="dxa"/>
          </w:tcPr>
          <w:p w:rsidR="00F474A9" w:rsidRPr="001340DC" w:rsidRDefault="00B12CF6" w:rsidP="00B12C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SENCO, office staff,  IT technician (website)</w:t>
            </w:r>
          </w:p>
        </w:tc>
        <w:tc>
          <w:tcPr>
            <w:tcW w:w="1277" w:type="dxa"/>
          </w:tcPr>
          <w:p w:rsidR="00F474A9" w:rsidRPr="001340DC" w:rsidRDefault="00B12CF6" w:rsidP="00CB22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Website to be up-dated on a day by day basis, other documents to be provided as required.</w:t>
            </w:r>
          </w:p>
        </w:tc>
        <w:tc>
          <w:tcPr>
            <w:tcW w:w="1418" w:type="dxa"/>
          </w:tcPr>
          <w:p w:rsidR="00F474A9" w:rsidRDefault="00B12CF6" w:rsidP="00CB22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</w:t>
            </w:r>
          </w:p>
          <w:p w:rsidR="00B12CF6" w:rsidRPr="001340DC" w:rsidRDefault="00B12CF6" w:rsidP="00CB220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Govs</w:t>
            </w:r>
            <w:proofErr w:type="spellEnd"/>
          </w:p>
        </w:tc>
        <w:tc>
          <w:tcPr>
            <w:tcW w:w="2649" w:type="dxa"/>
          </w:tcPr>
          <w:p w:rsidR="00F474A9" w:rsidRPr="00D02098" w:rsidRDefault="00D02098" w:rsidP="005E609C">
            <w:pPr>
              <w:rPr>
                <w:rFonts w:ascii="Arial" w:hAnsi="Arial" w:cs="Arial"/>
                <w:sz w:val="22"/>
                <w:szCs w:val="22"/>
              </w:rPr>
            </w:pPr>
            <w:r w:rsidRPr="00D02098">
              <w:rPr>
                <w:rFonts w:ascii="Arial" w:hAnsi="Arial" w:cs="Arial"/>
                <w:sz w:val="22"/>
                <w:szCs w:val="22"/>
              </w:rPr>
              <w:t xml:space="preserve">Website information up dated in accordance with new statutory guidelines </w:t>
            </w:r>
            <w:r w:rsidR="005E609C">
              <w:rPr>
                <w:rFonts w:ascii="Arial" w:hAnsi="Arial" w:cs="Arial"/>
                <w:sz w:val="22"/>
                <w:szCs w:val="22"/>
              </w:rPr>
              <w:t>Spring 2018. These set out details of SEND provision and the Local Offer for pupils.</w:t>
            </w:r>
            <w:bookmarkStart w:id="0" w:name="_GoBack"/>
            <w:bookmarkEnd w:id="0"/>
          </w:p>
        </w:tc>
      </w:tr>
    </w:tbl>
    <w:p w:rsidR="002C14E9" w:rsidRPr="00AC6BA7" w:rsidRDefault="00125632" w:rsidP="000C6274">
      <w:pPr>
        <w:tabs>
          <w:tab w:val="left" w:pos="1549"/>
        </w:tabs>
        <w:rPr>
          <w:rFonts w:ascii="Arial" w:hAnsi="Arial" w:cs="Arial"/>
          <w:sz w:val="24"/>
        </w:rPr>
      </w:pPr>
      <w:r w:rsidRPr="00AC6BA7">
        <w:rPr>
          <w:rFonts w:ascii="Arial" w:hAnsi="Arial" w:cs="Arial"/>
          <w:sz w:val="24"/>
        </w:rPr>
        <w:t xml:space="preserve"> </w:t>
      </w:r>
      <w:r w:rsidR="000C6274">
        <w:rPr>
          <w:rFonts w:ascii="Arial" w:hAnsi="Arial" w:cs="Arial"/>
          <w:sz w:val="24"/>
        </w:rPr>
        <w:tab/>
      </w:r>
    </w:p>
    <w:sectPr w:rsidR="002C14E9" w:rsidRPr="00AC6BA7">
      <w:headerReference w:type="default" r:id="rId8"/>
      <w:footerReference w:type="default" r:id="rId9"/>
      <w:pgSz w:w="16840" w:h="11907" w:orient="landscape" w:code="9"/>
      <w:pgMar w:top="1021" w:right="1021" w:bottom="1021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B4A" w:rsidRDefault="00F17B4A">
      <w:r>
        <w:separator/>
      </w:r>
    </w:p>
  </w:endnote>
  <w:endnote w:type="continuationSeparator" w:id="0">
    <w:p w:rsidR="00F17B4A" w:rsidRDefault="00F1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BD6" w:rsidRPr="00263BD6" w:rsidRDefault="00263BD6" w:rsidP="00263BD6">
    <w:pPr>
      <w:pStyle w:val="Footer"/>
      <w:jc w:val="center"/>
      <w:rPr>
        <w:rFonts w:ascii="Arial" w:hAnsi="Arial" w:cs="Arial"/>
        <w:color w:val="17365D" w:themeColor="text2" w:themeShade="BF"/>
        <w:sz w:val="24"/>
        <w:szCs w:val="24"/>
      </w:rPr>
    </w:pPr>
    <w:proofErr w:type="gramStart"/>
    <w:r w:rsidRPr="00263BD6">
      <w:rPr>
        <w:rFonts w:ascii="Arial" w:hAnsi="Arial" w:cs="Arial"/>
        <w:color w:val="17365D" w:themeColor="text2" w:themeShade="BF"/>
        <w:sz w:val="24"/>
        <w:szCs w:val="24"/>
      </w:rPr>
      <w:t>Aspire  ~</w:t>
    </w:r>
    <w:proofErr w:type="gramEnd"/>
    <w:r w:rsidRPr="00263BD6">
      <w:rPr>
        <w:rFonts w:ascii="Arial" w:hAnsi="Arial" w:cs="Arial"/>
        <w:color w:val="17365D" w:themeColor="text2" w:themeShade="BF"/>
        <w:sz w:val="24"/>
        <w:szCs w:val="24"/>
      </w:rPr>
      <w:t xml:space="preserve">  Respect  ~  Enjoy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B4A" w:rsidRDefault="00F17B4A">
      <w:r>
        <w:separator/>
      </w:r>
    </w:p>
  </w:footnote>
  <w:footnote w:type="continuationSeparator" w:id="0">
    <w:p w:rsidR="00F17B4A" w:rsidRDefault="00F17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AE9" w:rsidRPr="00AC6BA7" w:rsidRDefault="00C83AE9" w:rsidP="00AC6BA7">
    <w:pPr>
      <w:pStyle w:val="Header"/>
      <w:jc w:val="center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088F"/>
    <w:multiLevelType w:val="hybridMultilevel"/>
    <w:tmpl w:val="0DDCF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F0442"/>
    <w:multiLevelType w:val="multilevel"/>
    <w:tmpl w:val="FE6C1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E634E1"/>
    <w:multiLevelType w:val="hybridMultilevel"/>
    <w:tmpl w:val="C44AC7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1A44E7C"/>
    <w:multiLevelType w:val="multilevel"/>
    <w:tmpl w:val="4B5A5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CE6141"/>
    <w:multiLevelType w:val="multilevel"/>
    <w:tmpl w:val="A4A8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1D0CD1"/>
    <w:multiLevelType w:val="multilevel"/>
    <w:tmpl w:val="9FD0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3A184A"/>
    <w:multiLevelType w:val="multilevel"/>
    <w:tmpl w:val="E3106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3A6D6C"/>
    <w:multiLevelType w:val="hybridMultilevel"/>
    <w:tmpl w:val="BFDE2FA6"/>
    <w:lvl w:ilvl="0" w:tplc="7AB4C79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1F373B"/>
    <w:multiLevelType w:val="hybridMultilevel"/>
    <w:tmpl w:val="1FFC5C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E5606E8"/>
    <w:multiLevelType w:val="multilevel"/>
    <w:tmpl w:val="57CE0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541F04"/>
    <w:multiLevelType w:val="multilevel"/>
    <w:tmpl w:val="225EC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8F0702"/>
    <w:multiLevelType w:val="multilevel"/>
    <w:tmpl w:val="2424B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7523C8"/>
    <w:multiLevelType w:val="multilevel"/>
    <w:tmpl w:val="E3106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7"/>
  </w:num>
  <w:num w:numId="5">
    <w:abstractNumId w:val="10"/>
  </w:num>
  <w:num w:numId="6">
    <w:abstractNumId w:val="11"/>
  </w:num>
  <w:num w:numId="7">
    <w:abstractNumId w:val="1"/>
  </w:num>
  <w:num w:numId="8">
    <w:abstractNumId w:val="6"/>
  </w:num>
  <w:num w:numId="9">
    <w:abstractNumId w:val="5"/>
  </w:num>
  <w:num w:numId="10">
    <w:abstractNumId w:val="9"/>
  </w:num>
  <w:num w:numId="11">
    <w:abstractNumId w:val="3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92D"/>
    <w:rsid w:val="00035D96"/>
    <w:rsid w:val="000B68F4"/>
    <w:rsid w:val="000C6274"/>
    <w:rsid w:val="001170CE"/>
    <w:rsid w:val="00125632"/>
    <w:rsid w:val="001340DC"/>
    <w:rsid w:val="00137DEF"/>
    <w:rsid w:val="002420CE"/>
    <w:rsid w:val="00245AE9"/>
    <w:rsid w:val="00252F38"/>
    <w:rsid w:val="00263BD6"/>
    <w:rsid w:val="002A1C63"/>
    <w:rsid w:val="002C14E9"/>
    <w:rsid w:val="00385D3E"/>
    <w:rsid w:val="00430EDC"/>
    <w:rsid w:val="00456032"/>
    <w:rsid w:val="005261A3"/>
    <w:rsid w:val="0053502F"/>
    <w:rsid w:val="005446E1"/>
    <w:rsid w:val="005E609C"/>
    <w:rsid w:val="00604C32"/>
    <w:rsid w:val="006579A4"/>
    <w:rsid w:val="006C2BDE"/>
    <w:rsid w:val="006C7200"/>
    <w:rsid w:val="006D12EA"/>
    <w:rsid w:val="006D4D36"/>
    <w:rsid w:val="00784226"/>
    <w:rsid w:val="007A5134"/>
    <w:rsid w:val="007B4596"/>
    <w:rsid w:val="008150D0"/>
    <w:rsid w:val="00825A91"/>
    <w:rsid w:val="00855571"/>
    <w:rsid w:val="00870CDE"/>
    <w:rsid w:val="008A1543"/>
    <w:rsid w:val="008C43A3"/>
    <w:rsid w:val="00914E46"/>
    <w:rsid w:val="00A3167E"/>
    <w:rsid w:val="00A31862"/>
    <w:rsid w:val="00AC6BA7"/>
    <w:rsid w:val="00B12CF6"/>
    <w:rsid w:val="00B62D5A"/>
    <w:rsid w:val="00B9072E"/>
    <w:rsid w:val="00BC4921"/>
    <w:rsid w:val="00C10C24"/>
    <w:rsid w:val="00C83AE9"/>
    <w:rsid w:val="00C87AEF"/>
    <w:rsid w:val="00C91741"/>
    <w:rsid w:val="00CA292D"/>
    <w:rsid w:val="00CB2203"/>
    <w:rsid w:val="00CF1347"/>
    <w:rsid w:val="00D02098"/>
    <w:rsid w:val="00D95CC9"/>
    <w:rsid w:val="00DE180E"/>
    <w:rsid w:val="00DE3A8C"/>
    <w:rsid w:val="00E916B6"/>
    <w:rsid w:val="00ED7209"/>
    <w:rsid w:val="00EE488C"/>
    <w:rsid w:val="00F17B4A"/>
    <w:rsid w:val="00F30CBE"/>
    <w:rsid w:val="00F43958"/>
    <w:rsid w:val="00F474A9"/>
    <w:rsid w:val="00FC221C"/>
    <w:rsid w:val="00FF2A7C"/>
    <w:rsid w:val="00FF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96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3167E"/>
    <w:pPr>
      <w:ind w:left="720"/>
      <w:contextualSpacing/>
    </w:pPr>
  </w:style>
  <w:style w:type="paragraph" w:customStyle="1" w:styleId="Default">
    <w:name w:val="Default"/>
    <w:rsid w:val="00CF13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8150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50D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96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3167E"/>
    <w:pPr>
      <w:ind w:left="720"/>
      <w:contextualSpacing/>
    </w:pPr>
  </w:style>
  <w:style w:type="paragraph" w:customStyle="1" w:styleId="Default">
    <w:name w:val="Default"/>
    <w:rsid w:val="00CF13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8150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50D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7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9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8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6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3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1106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CE JUNIOR SCHOOL</vt:lpstr>
    </vt:vector>
  </TitlesOfParts>
  <Company>WSCC</Company>
  <LinksUpToDate>false</LinksUpToDate>
  <CharactersWithSpaces>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CE JUNIOR SCHOOL</dc:title>
  <dc:creator>user</dc:creator>
  <cp:lastModifiedBy>head</cp:lastModifiedBy>
  <cp:revision>3</cp:revision>
  <cp:lastPrinted>2016-02-02T11:27:00Z</cp:lastPrinted>
  <dcterms:created xsi:type="dcterms:W3CDTF">2017-10-11T11:12:00Z</dcterms:created>
  <dcterms:modified xsi:type="dcterms:W3CDTF">2018-05-04T14:42:00Z</dcterms:modified>
</cp:coreProperties>
</file>